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color w:val="8C1515"/>
          <w:sz w:val="20"/>
          <w:szCs w:val="20"/>
        </w:rPr>
        <w:t xml:space="preserve">COMPASS CASES</w:t>
      </w:r>
    </w:p>
    <w:p>
      <w:pPr>
        <w:spacing w:after="100"/>
      </w:pPr>
      <w:r>
        <w:rPr>
          <w:rFonts w:ascii="Georgia" w:cs="Georgia" w:eastAsia="Georgia" w:hAnsi="Georgia"/>
          <w:b/>
          <w:bCs/>
          <w:sz w:val="40"/>
          <w:szCs w:val="40"/>
        </w:rPr>
        <w:t xml:space="preserve">Case Five · Ruth's Way Home</w:t>
      </w:r>
    </w:p>
    <w:p>
      <w:pPr>
        <w:spacing w:after="280" w:line="276"/>
      </w:pPr>
      <w:r>
        <w:rPr>
          <w:rFonts w:ascii="Georgia" w:cs="Georgia" w:eastAsia="Georgia" w:hAnsi="Georgia"/>
          <w:b w:val="false"/>
          <w:bCs w:val="false"/>
          <w:i/>
          <w:iCs/>
          <w:sz w:val="22"/>
          <w:szCs w:val="22"/>
        </w:rPr>
        <w:t xml:space="preserve">A geriatrics journey case: an 85-year-old woman falls at home in the night, breaks her hip, and is carried back to her own kitchen table by twenty-four people, most of them from professions the earlier cases never featured. Draft for review: the clinical story follows real geriatric practice, and career details await practitioner verification.</w:t>
      </w:r>
    </w:p>
    <w:p>
      <w:pPr>
        <w:pStyle w:val="Heading1"/>
        <w:spacing w:after="200" w:before="360"/>
      </w:pPr>
      <w:r>
        <w:rPr>
          <w:rFonts w:ascii="Georgia" w:cs="Georgia" w:eastAsia="Georgia" w:hAnsi="Georgia"/>
          <w:b/>
          <w:bCs/>
          <w:color w:val="8C1515"/>
          <w:sz w:val="30"/>
          <w:szCs w:val="30"/>
        </w:rPr>
        <w:t xml:space="preserve">Part One · For educators</w:t>
      </w:r>
    </w:p>
    <w:p>
      <w:pPr>
        <w:spacing w:after="160" w:line="276"/>
      </w:pPr>
      <w:r>
        <w:rPr>
          <w:rFonts w:ascii="Georgia" w:cs="Georgia" w:eastAsia="Georgia" w:hAnsi="Georgia"/>
          <w:b w:val="false"/>
          <w:bCs w:val="false"/>
          <w:i w:val="false"/>
          <w:iCs w:val="false"/>
          <w:sz w:val="22"/>
          <w:szCs w:val="22"/>
        </w:rPr>
        <w:t xml:space="preserve">Ruth's Way Home is the fifth Compass Case, the second in the journey format, and the first built around the care of older adults. Where Sofía's case followed a young woman's rehabilitation after a brain injury, Ruth's follows the most common serious injury of late life, a hip fracture after a fall at home, and uses it to open a world most pre-health students have never considered working in: the operating room, the skilled nursing facility, home-based care, and the community services that keep older adults in their own houses.</w:t>
      </w:r>
    </w:p>
    <w:p>
      <w:pPr>
        <w:spacing w:after="160" w:line="276"/>
      </w:pPr>
      <w:r>
        <w:rPr>
          <w:rFonts w:ascii="Georgia" w:cs="Georgia" w:eastAsia="Georgia" w:hAnsi="Georgia"/>
          <w:b w:val="false"/>
          <w:bCs w:val="false"/>
          <w:i w:val="false"/>
          <w:iCs w:val="false"/>
          <w:sz w:val="22"/>
          <w:szCs w:val="22"/>
        </w:rPr>
        <w:t xml:space="preserve">The case is organized around the 5 M's of geriatrics, the framework geriatricians use to think about older patients: Mind, Mobility, Medications, Multicomplexity, and what Matters Most. Because these are early learners, the framework is explicit and labeled throughout the interactive case: a field guide introduces the five words before the journey, every stop wears one or two M badges, each stage ends with a 5 M's check, and the finale asks students to sort moments from the story into the five categories.</w:t>
      </w:r>
    </w:p>
    <w:p>
      <w:pPr>
        <w:spacing w:after="160" w:line="276"/>
      </w:pPr>
      <w:r>
        <w:rPr>
          <w:rFonts w:ascii="Georgia" w:cs="Georgia" w:eastAsia="Georgia" w:hAnsi="Georgia"/>
          <w:b w:val="false"/>
          <w:bCs w:val="false"/>
          <w:i w:val="false"/>
          <w:iCs w:val="false"/>
          <w:sz w:val="22"/>
          <w:szCs w:val="22"/>
        </w:rPr>
        <w:t xml:space="preserve">The interactive case at compasscases.com/ruth.html also pilots a redesigned interaction model. The road reveals itself in stages: only Stage One is open at first, and each stage unlocks when the previous one is finished, with an Unlock Everything control available for classroom use. Most stops open on a short scene and an immediate decision, a quick judgment call or a full clinical decision, before any extended reading, and several stops replace prose with interactive artifacts: the X-ray itself, a tap-to-reveal set of orthostatic vital signs, a medication culprit hunt, a home hazard hunt, and a goals-of-care conversation where students choose the questions.</w:t>
      </w:r>
    </w:p>
    <w:p>
      <w:pPr>
        <w:spacing w:after="160" w:line="276"/>
      </w:pPr>
      <w:r>
        <w:rPr>
          <w:rFonts w:ascii="Georgia" w:cs="Georgia" w:eastAsia="Georgia" w:hAnsi="Georgia"/>
          <w:b w:val="false"/>
          <w:bCs w:val="false"/>
          <w:i w:val="false"/>
          <w:iCs w:val="false"/>
          <w:sz w:val="22"/>
          <w:szCs w:val="22"/>
        </w:rPr>
        <w:t xml:space="preserve">Two teaching threads run the length of the case. First, medications: Ruth's fall is multifactorial, and three blood pressure medicines, a diuretic timed to fill her bladder at 2 a.m., and an over-the-counter sedating antihistamine all contributed. The signature decision of the case is a geriatrician's deprescribing call. Second, systems: the wrist fracture at 78 that nobody investigated is the case's quiet indictment, and the fracture liaison service that finally connects it to the hip at 85 introduces students to careers that fix the delivery of care itself.</w:t>
      </w:r>
    </w:p>
    <w:p>
      <w:pPr>
        <w:pStyle w:val="Heading1"/>
        <w:spacing w:after="200" w:before="360"/>
      </w:pPr>
      <w:r>
        <w:rPr>
          <w:rFonts w:ascii="Georgia" w:cs="Georgia" w:eastAsia="Georgia" w:hAnsi="Georgia"/>
          <w:b/>
          <w:bCs/>
          <w:color w:val="8C1515"/>
          <w:sz w:val="30"/>
          <w:szCs w:val="30"/>
        </w:rPr>
        <w:t xml:space="preserve">Part Two · Ruth's story</w:t>
      </w:r>
    </w:p>
    <w:p>
      <w:pPr>
        <w:pStyle w:val="Heading2"/>
        <w:spacing w:after="160" w:before="280"/>
      </w:pPr>
      <w:r>
        <w:rPr>
          <w:rFonts w:ascii="Georgia" w:cs="Georgia" w:eastAsia="Georgia" w:hAnsi="Georgia"/>
          <w:b/>
          <w:bCs/>
          <w:color w:val="333333"/>
          <w:sz w:val="25"/>
          <w:szCs w:val="25"/>
        </w:rPr>
        <w:t xml:space="preserve">The night</w:t>
      </w:r>
    </w:p>
    <w:p>
      <w:pPr>
        <w:spacing w:after="160" w:line="276"/>
      </w:pPr>
      <w:r>
        <w:rPr>
          <w:rFonts w:ascii="Georgia" w:cs="Georgia" w:eastAsia="Georgia" w:hAnsi="Georgia"/>
          <w:b w:val="false"/>
          <w:bCs w:val="false"/>
          <w:i w:val="false"/>
          <w:iCs w:val="false"/>
          <w:sz w:val="22"/>
          <w:szCs w:val="22"/>
        </w:rPr>
        <w:t xml:space="preserve">Ruth Mason is 85, a retired school librarian, widowed six years. She lives alone in the house she and her husband bought fifty-two years ago, four towns from her eldest son Mark, who calls every Sunday. She drives to the library and to choir practice on Thursdays. She has a cat named Earl, and a kitchen table where everything important in her family has ever happened. What she wants from the years ahead has been the same for six years: to stay in her own home.</w:t>
      </w:r>
    </w:p>
    <w:p>
      <w:pPr>
        <w:spacing w:after="160" w:line="276"/>
      </w:pPr>
      <w:r>
        <w:rPr>
          <w:rFonts w:ascii="Georgia" w:cs="Georgia" w:eastAsia="Georgia" w:hAnsi="Georgia"/>
          <w:b w:val="false"/>
          <w:bCs w:val="false"/>
          <w:i w:val="false"/>
          <w:iCs w:val="false"/>
          <w:sz w:val="22"/>
          <w:szCs w:val="22"/>
        </w:rPr>
        <w:t xml:space="preserve">Her medicine cabinet tells a longer story. Three pills for blood pressure (lisinopril, hydrochlorothiazide, amlodipine). A thyroid pill at a dose no one has rechecked in a decade. A bone medicine she quit because it bothered her stomach, after a broken wrist at 78 that everyone treated as bad luck. And an over-the-counter sleep aid, diphenhydramine, on the nightstand. Nine pills a day counting supplements, prescribed by three clinicians who have never spoken to each other.</w:t>
      </w:r>
    </w:p>
    <w:p>
      <w:pPr>
        <w:spacing w:after="160" w:line="276"/>
      </w:pPr>
      <w:r>
        <w:rPr>
          <w:rFonts w:ascii="Georgia" w:cs="Georgia" w:eastAsia="Georgia" w:hAnsi="Georgia"/>
          <w:b w:val="false"/>
          <w:bCs w:val="false"/>
          <w:i w:val="false"/>
          <w:iCs w:val="false"/>
          <w:sz w:val="22"/>
          <w:szCs w:val="22"/>
        </w:rPr>
        <w:t xml:space="preserve">A little after two in the morning, the tea she had with dinner and the water pill she takes at six make themselves felt. She stands the way she has stood her whole life, in one motion, and the room tilts: three blood pressure medicines and an antihistamine arrive ahead of her. In the dark hallway her slipper catches the leg of the wooden chair that has stood in that spot for decades, and she goes down hard on her left side. The pain in her hip is unlike anything she knows. The phone is in the kitchen.</w:t>
      </w:r>
    </w:p>
    <w:p>
      <w:pPr>
        <w:pStyle w:val="Heading2"/>
        <w:spacing w:after="160" w:before="280"/>
      </w:pPr>
      <w:r>
        <w:rPr>
          <w:rFonts w:ascii="Georgia" w:cs="Georgia" w:eastAsia="Georgia" w:hAnsi="Georgia"/>
          <w:b/>
          <w:bCs/>
          <w:color w:val="333333"/>
          <w:sz w:val="25"/>
          <w:szCs w:val="25"/>
        </w:rPr>
        <w:t xml:space="preserve">Three hours</w:t>
      </w:r>
    </w:p>
    <w:p>
      <w:pPr>
        <w:spacing w:after="160" w:line="276"/>
      </w:pPr>
      <w:r>
        <w:rPr>
          <w:rFonts w:ascii="Georgia" w:cs="Georgia" w:eastAsia="Georgia" w:hAnsi="Georgia"/>
          <w:b w:val="false"/>
          <w:bCs w:val="false"/>
          <w:i w:val="false"/>
          <w:iCs w:val="false"/>
          <w:sz w:val="22"/>
          <w:szCs w:val="22"/>
        </w:rPr>
        <w:t xml:space="preserve">Ruth is on the floor for almost three hours, the interval medicine calls the long lie: cold rising through the floorboards, muscle quietly breaking down under her own weight, Earl beside her in the dark. She crosses the hallway a few inches at a time, pulls the phone down by its cord at five in the morning, and dials 911. The dispatcher who answers stays on the line until the crew is through the door, and Ruth will call her the first hand that reached her.</w:t>
      </w:r>
    </w:p>
    <w:p>
      <w:pPr>
        <w:pStyle w:val="Heading2"/>
        <w:spacing w:after="160" w:before="280"/>
      </w:pPr>
      <w:r>
        <w:rPr>
          <w:rFonts w:ascii="Georgia" w:cs="Georgia" w:eastAsia="Georgia" w:hAnsi="Georgia"/>
          <w:b/>
          <w:bCs/>
          <w:color w:val="333333"/>
          <w:sz w:val="25"/>
          <w:szCs w:val="25"/>
        </w:rPr>
        <w:t xml:space="preserve">The hospital</w:t>
      </w:r>
    </w:p>
    <w:p>
      <w:pPr>
        <w:spacing w:after="160" w:line="276"/>
      </w:pPr>
      <w:r>
        <w:rPr>
          <w:rFonts w:ascii="Georgia" w:cs="Georgia" w:eastAsia="Georgia" w:hAnsi="Georgia"/>
          <w:b w:val="false"/>
          <w:bCs w:val="false"/>
          <w:i w:val="false"/>
          <w:iCs w:val="false"/>
          <w:sz w:val="22"/>
          <w:szCs w:val="22"/>
        </w:rPr>
        <w:t xml:space="preserve">The X-ray shows a displaced fracture of the femoral neck. At 6 a.m., Mark's phone rings four towns away. Within thirty-six hours Ruth is in surgery: the orthopedic surgeon replaces the broken ball of her hip with a metal one, a choice made for immediate weight-bearing in 85-year-old bone, and the anesthesiologist recommends a spinal with light sedation after a bedside conversation that wins Ruth's trust in four minutes. In the recovery room a nurse charts her sharp, funny baseline; three nights later, when a nursing assistant hears her talking to her late husband at 2 a.m., that baseline is what makes the delirium visible, and the team reverses it in two days.</w:t>
      </w:r>
    </w:p>
    <w:p>
      <w:pPr>
        <w:pStyle w:val="Heading2"/>
        <w:spacing w:after="160" w:before="280"/>
      </w:pPr>
      <w:r>
        <w:rPr>
          <w:rFonts w:ascii="Georgia" w:cs="Georgia" w:eastAsia="Georgia" w:hAnsi="Georgia"/>
          <w:b/>
          <w:bCs/>
          <w:color w:val="333333"/>
          <w:sz w:val="25"/>
          <w:szCs w:val="25"/>
        </w:rPr>
        <w:t xml:space="preserve">Rebuilding, somewhere that is not home</w:t>
      </w:r>
    </w:p>
    <w:p>
      <w:pPr>
        <w:spacing w:after="160" w:line="276"/>
      </w:pPr>
      <w:r>
        <w:rPr>
          <w:rFonts w:ascii="Georgia" w:cs="Georgia" w:eastAsia="Georgia" w:hAnsi="Georgia"/>
          <w:b w:val="false"/>
          <w:bCs w:val="false"/>
          <w:i w:val="false"/>
          <w:iCs w:val="false"/>
          <w:sz w:val="22"/>
          <w:szCs w:val="22"/>
        </w:rPr>
        <w:t xml:space="preserve">At the skilled nursing facility the real work happens: bed to chair, chair to hallway, hallway to handrail, led by a physical therapist assistant and an occupational therapy assistant, watched over by nurses and aides. A geriatrician reads her medication list the way a detective reads a room, measures the standing blood pressure nobody had ever measured, and takes two medicines away: the diuretic and the sleep aid. Her standing pressure steadies; the 2 a.m. bathroom trips fade. A consultant pharmacist's formal review, required monthly for every nursing facility resident in the country, confirms the reasoning and flags the thyroid dose.</w:t>
      </w:r>
    </w:p>
    <w:p>
      <w:pPr>
        <w:pStyle w:val="Heading2"/>
        <w:spacing w:after="160" w:before="280"/>
      </w:pPr>
      <w:r>
        <w:rPr>
          <w:rFonts w:ascii="Georgia" w:cs="Georgia" w:eastAsia="Georgia" w:hAnsi="Georgia"/>
          <w:b/>
          <w:bCs/>
          <w:color w:val="333333"/>
          <w:sz w:val="25"/>
          <w:szCs w:val="25"/>
        </w:rPr>
        <w:t xml:space="preserve">The way home</w:t>
      </w:r>
    </w:p>
    <w:p>
      <w:pPr>
        <w:spacing w:after="160" w:line="276"/>
      </w:pPr>
      <w:r>
        <w:rPr>
          <w:rFonts w:ascii="Georgia" w:cs="Georgia" w:eastAsia="Georgia" w:hAnsi="Georgia"/>
          <w:b w:val="false"/>
          <w:bCs w:val="false"/>
          <w:i w:val="false"/>
          <w:iCs w:val="false"/>
          <w:sz w:val="22"/>
          <w:szCs w:val="22"/>
        </w:rPr>
        <w:t xml:space="preserve">Getting Ruth home is an engineering project. A geriatric care manager, hired because Mark is four towns away, turns forty phone calls into one plan. A home health nurse audits the medicine drawer at the kitchen table and takes her blood pressure standing, in the hallway where it matters. A home health aide makes being helped feel like dignity, three mornings a week. A contractor certified in aging-in-place design installs grab bars and a motion-sensing night-light, retires the runner rug, and moves the chair. A Meals on Wheels volunteer brings lunch five days a week and, with every knock, confirms that Ruth is upright and okay.</w:t>
      </w:r>
    </w:p>
    <w:p>
      <w:pPr>
        <w:spacing w:after="160" w:line="276"/>
      </w:pPr>
      <w:r>
        <w:rPr>
          <w:rFonts w:ascii="Georgia" w:cs="Georgia" w:eastAsia="Georgia" w:hAnsi="Georgia"/>
          <w:b w:val="false"/>
          <w:bCs w:val="false"/>
          <w:i w:val="false"/>
          <w:iCs w:val="false"/>
          <w:sz w:val="22"/>
          <w:szCs w:val="22"/>
        </w:rPr>
        <w:t xml:space="preserve">Then someone finally connects the dots: a fracture liaison nurse links the wrist at 78 to the hip at 85, a DEXA scan turns the story into a number (a T-score of minus 2.9), and an endocrinologist treats the osteoporosis with a twice-yearly infusion her stomach cannot veto while stepping the thyroid dose down to her age. The case ends at Ruth's kitchen table: a goals-of-care conversation with Mark on video and her geriatrician listening, where Ruth says what matters most and the plan bends around it.</w:t>
      </w:r>
    </w:p>
    <w:p>
      <w:pPr>
        <w:pStyle w:val="Heading2"/>
        <w:spacing w:after="160" w:before="280"/>
      </w:pPr>
      <w:r>
        <w:rPr>
          <w:rFonts w:ascii="Georgia" w:cs="Georgia" w:eastAsia="Georgia" w:hAnsi="Georgia"/>
          <w:b/>
          <w:bCs/>
          <w:color w:val="333333"/>
          <w:sz w:val="25"/>
          <w:szCs w:val="25"/>
        </w:rPr>
        <w:t xml:space="preserve">Epilogue · Six months later</w:t>
      </w:r>
    </w:p>
    <w:p>
      <w:pPr>
        <w:spacing w:after="160" w:line="276"/>
      </w:pPr>
      <w:r>
        <w:rPr>
          <w:rFonts w:ascii="Georgia" w:cs="Georgia" w:eastAsia="Georgia" w:hAnsi="Georgia"/>
          <w:b w:val="false"/>
          <w:bCs w:val="false"/>
          <w:i w:val="false"/>
          <w:iCs w:val="false"/>
          <w:sz w:val="22"/>
          <w:szCs w:val="22"/>
        </w:rPr>
        <w:t xml:space="preserve">A Thursday evening in April: Ruth stands with the altos at choir practice, her cane hooked over the chair she is choosing to stand beside. The wooden chair lives in the bedroom corner; a night-light traces the path to the bathroom; the pill organizer holds five medicines where there were nine. Mark still calls on Sundays, and now there is a Wednesday text. On the calendar, Thursdays say choir, Mondays say tai chi, and one Friday in June says, underlined twice: DEXA scan, ask about the wrist.</w:t>
      </w:r>
    </w:p>
    <w:p>
      <w:pPr>
        <w:pStyle w:val="Heading1"/>
        <w:spacing w:after="200" w:before="360"/>
      </w:pPr>
      <w:r>
        <w:rPr>
          <w:rFonts w:ascii="Georgia" w:cs="Georgia" w:eastAsia="Georgia" w:hAnsi="Georgia"/>
          <w:b/>
          <w:bCs/>
          <w:color w:val="8C1515"/>
          <w:sz w:val="30"/>
          <w:szCs w:val="30"/>
        </w:rPr>
        <w:t xml:space="preserve">Part Three · The journey at a glance</w:t>
      </w:r>
    </w:p>
    <w:p>
      <w:pPr>
        <w:spacing w:after="160" w:line="276"/>
      </w:pPr>
      <w:r>
        <w:rPr>
          <w:rFonts w:ascii="Georgia" w:cs="Georgia" w:eastAsia="Georgia" w:hAnsi="Georgia"/>
          <w:b w:val="false"/>
          <w:bCs w:val="false"/>
          <w:i w:val="false"/>
          <w:iCs w:val="false"/>
          <w:sz w:val="22"/>
          <w:szCs w:val="22"/>
        </w:rPr>
        <w:t xml:space="preserve">Twenty-four stops in five stages. Roles marked new have never been featured in Cases One through Four; professions with earlier featured turns appear only as cameos.</w:t>
      </w:r>
    </w:p>
    <w:p>
      <w:pPr>
        <w:pStyle w:val="Heading2"/>
        <w:spacing w:after="160" w:before="280"/>
      </w:pPr>
      <w:r>
        <w:rPr>
          <w:rFonts w:ascii="Georgia" w:cs="Georgia" w:eastAsia="Georgia" w:hAnsi="Georgia"/>
          <w:b/>
          <w:bCs/>
          <w:color w:val="333333"/>
          <w:sz w:val="25"/>
          <w:szCs w:val="25"/>
        </w:rPr>
        <w:t xml:space="preserve">Stage I · The floor (2:10 a.m. to sunrise)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3600"/>
        <w:gridCol w:w="2600"/>
        <w:gridCol w:w="2460"/>
      </w:tblGrid>
      <w:tr>
        <w:trPr>
          <w:tblHeader/>
        </w:trPr>
        <w:tc>
          <w:tcPr>
            <w:tcW w:type="dxa" w:w="700"/>
            <w:shd w:fill="F3EDE7" w:val="clear"/>
            <w:tcMar>
              <w:top w:type="dxa" w:w="80"/>
              <w:left w:type="dxa" w:w="110"/>
              <w:bottom w:type="dxa" w:w="80"/>
              <w:right w:type="dxa" w:w="110"/>
            </w:tcMar>
          </w:tcPr>
          <w:p>
            <w:pPr>
              <w:spacing w:after="0" w:line="252"/>
            </w:pPr>
            <w:r>
              <w:rPr>
                <w:rFonts w:ascii="Georgia" w:cs="Georgia" w:eastAsia="Georgia" w:hAnsi="Georgia"/>
                <w:b/>
                <w:bCs/>
                <w:sz w:val="19"/>
                <w:szCs w:val="19"/>
              </w:rPr>
              <w:t xml:space="preserve">Stop</w:t>
            </w:r>
          </w:p>
        </w:tc>
        <w:tc>
          <w:tcPr>
            <w:tcW w:type="dxa" w:w="3600"/>
            <w:shd w:fill="F3EDE7" w:val="clear"/>
            <w:tcMar>
              <w:top w:type="dxa" w:w="80"/>
              <w:left w:type="dxa" w:w="110"/>
              <w:bottom w:type="dxa" w:w="80"/>
              <w:right w:type="dxa" w:w="110"/>
            </w:tcMar>
          </w:tcPr>
          <w:p>
            <w:pPr>
              <w:spacing w:after="0" w:line="252"/>
            </w:pPr>
            <w:r>
              <w:rPr>
                <w:rFonts w:ascii="Georgia" w:cs="Georgia" w:eastAsia="Georgia" w:hAnsi="Georgia"/>
                <w:b/>
                <w:bCs/>
                <w:sz w:val="19"/>
                <w:szCs w:val="19"/>
              </w:rPr>
              <w:t xml:space="preserve">Person</w:t>
            </w:r>
          </w:p>
        </w:tc>
        <w:tc>
          <w:tcPr>
            <w:tcW w:type="dxa" w:w="2600"/>
            <w:shd w:fill="F3EDE7" w:val="clear"/>
            <w:tcMar>
              <w:top w:type="dxa" w:w="80"/>
              <w:left w:type="dxa" w:w="110"/>
              <w:bottom w:type="dxa" w:w="80"/>
              <w:right w:type="dxa" w:w="110"/>
            </w:tcMar>
          </w:tcPr>
          <w:p>
            <w:pPr>
              <w:spacing w:after="0" w:line="252"/>
            </w:pPr>
            <w:r>
              <w:rPr>
                <w:rFonts w:ascii="Georgia" w:cs="Georgia" w:eastAsia="Georgia" w:hAnsi="Georgia"/>
                <w:b/>
                <w:bCs/>
                <w:sz w:val="19"/>
                <w:szCs w:val="19"/>
              </w:rPr>
              <w:t xml:space="preserve">5 M's</w:t>
            </w:r>
          </w:p>
        </w:tc>
        <w:tc>
          <w:tcPr>
            <w:tcW w:type="dxa" w:w="2460"/>
            <w:shd w:fill="F3EDE7" w:val="clear"/>
            <w:tcMar>
              <w:top w:type="dxa" w:w="80"/>
              <w:left w:type="dxa" w:w="110"/>
              <w:bottom w:type="dxa" w:w="80"/>
              <w:right w:type="dxa" w:w="110"/>
            </w:tcMar>
          </w:tcPr>
          <w:p>
            <w:pPr>
              <w:spacing w:after="0" w:line="252"/>
            </w:pPr>
            <w:r>
              <w:rPr>
                <w:rFonts w:ascii="Georgia" w:cs="Georgia" w:eastAsia="Georgia" w:hAnsi="Georgia"/>
                <w:b/>
                <w:bCs/>
                <w:sz w:val="19"/>
                <w:szCs w:val="19"/>
              </w:rPr>
              <w:t xml:space="preserve">Interaction</w:t>
            </w:r>
          </w:p>
        </w:tc>
      </w:tr>
      <w:tr>
        <w:tc>
          <w:tcPr>
            <w:tcW w:type="dxa" w:w="7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1</w:t>
            </w:r>
          </w:p>
        </w:tc>
        <w:tc>
          <w:tcPr>
            <w:tcW w:type="dxa" w:w="3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Priya · 911 dispatcher (new)</w:t>
            </w:r>
          </w:p>
        </w:tc>
        <w:tc>
          <w:tcPr>
            <w:tcW w:type="dxa" w:w="2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Mobility</w:t>
            </w:r>
          </w:p>
        </w:tc>
        <w:tc>
          <w:tcPr>
            <w:tcW w:type="dxa" w:w="246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Quick call: what do you ask first?</w:t>
            </w:r>
          </w:p>
        </w:tc>
      </w:tr>
      <w:tr>
        <w:tc>
          <w:tcPr>
            <w:tcW w:type="dxa" w:w="7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2</w:t>
            </w:r>
          </w:p>
        </w:tc>
        <w:tc>
          <w:tcPr>
            <w:tcW w:type="dxa" w:w="3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Sam · EMT (new)</w:t>
            </w:r>
          </w:p>
        </w:tc>
        <w:tc>
          <w:tcPr>
            <w:tcW w:type="dxa" w:w="2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Mobility · Multicomplexity</w:t>
            </w:r>
          </w:p>
        </w:tc>
        <w:tc>
          <w:tcPr>
            <w:tcW w:type="dxa" w:w="246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Tap-to-reveal: her seated and standing blood pressures</w:t>
            </w:r>
          </w:p>
        </w:tc>
      </w:tr>
      <w:tr>
        <w:tc>
          <w:tcPr>
            <w:tcW w:type="dxa" w:w="7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3</w:t>
            </w:r>
          </w:p>
        </w:tc>
        <w:tc>
          <w:tcPr>
            <w:tcW w:type="dxa" w:w="3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Denise · Radiologic technologist (new)</w:t>
            </w:r>
          </w:p>
        </w:tc>
        <w:tc>
          <w:tcPr>
            <w:tcW w:type="dxa" w:w="2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Mobility</w:t>
            </w:r>
          </w:p>
        </w:tc>
        <w:tc>
          <w:tcPr>
            <w:tcW w:type="dxa" w:w="246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The X-ray itself as the artifact</w:t>
            </w:r>
          </w:p>
        </w:tc>
      </w:tr>
    </w:tbl>
    <w:p>
      <w:pPr>
        <w:pStyle w:val="Heading2"/>
        <w:spacing w:after="160" w:before="280"/>
      </w:pPr>
      <w:r>
        <w:rPr>
          <w:rFonts w:ascii="Georgia" w:cs="Georgia" w:eastAsia="Georgia" w:hAnsi="Georgia"/>
          <w:b/>
          <w:bCs/>
          <w:color w:val="333333"/>
          <w:sz w:val="25"/>
          <w:szCs w:val="25"/>
        </w:rPr>
        <w:t xml:space="preserve">Stage II · The operating room (the first thirty-six hours)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3600"/>
        <w:gridCol w:w="2600"/>
        <w:gridCol w:w="2460"/>
      </w:tblGrid>
      <w:tr>
        <w:trPr>
          <w:tblHeader/>
        </w:trPr>
        <w:tc>
          <w:tcPr>
            <w:tcW w:type="dxa" w:w="700"/>
            <w:shd w:fill="F3EDE7" w:val="clear"/>
            <w:tcMar>
              <w:top w:type="dxa" w:w="80"/>
              <w:left w:type="dxa" w:w="110"/>
              <w:bottom w:type="dxa" w:w="80"/>
              <w:right w:type="dxa" w:w="110"/>
            </w:tcMar>
          </w:tcPr>
          <w:p>
            <w:pPr>
              <w:spacing w:after="0" w:line="252"/>
            </w:pPr>
            <w:r>
              <w:rPr>
                <w:rFonts w:ascii="Georgia" w:cs="Georgia" w:eastAsia="Georgia" w:hAnsi="Georgia"/>
                <w:b/>
                <w:bCs/>
                <w:sz w:val="19"/>
                <w:szCs w:val="19"/>
              </w:rPr>
              <w:t xml:space="preserve">Stop</w:t>
            </w:r>
          </w:p>
        </w:tc>
        <w:tc>
          <w:tcPr>
            <w:tcW w:type="dxa" w:w="3600"/>
            <w:shd w:fill="F3EDE7" w:val="clear"/>
            <w:tcMar>
              <w:top w:type="dxa" w:w="80"/>
              <w:left w:type="dxa" w:w="110"/>
              <w:bottom w:type="dxa" w:w="80"/>
              <w:right w:type="dxa" w:w="110"/>
            </w:tcMar>
          </w:tcPr>
          <w:p>
            <w:pPr>
              <w:spacing w:after="0" w:line="252"/>
            </w:pPr>
            <w:r>
              <w:rPr>
                <w:rFonts w:ascii="Georgia" w:cs="Georgia" w:eastAsia="Georgia" w:hAnsi="Georgia"/>
                <w:b/>
                <w:bCs/>
                <w:sz w:val="19"/>
                <w:szCs w:val="19"/>
              </w:rPr>
              <w:t xml:space="preserve">Person</w:t>
            </w:r>
          </w:p>
        </w:tc>
        <w:tc>
          <w:tcPr>
            <w:tcW w:type="dxa" w:w="2600"/>
            <w:shd w:fill="F3EDE7" w:val="clear"/>
            <w:tcMar>
              <w:top w:type="dxa" w:w="80"/>
              <w:left w:type="dxa" w:w="110"/>
              <w:bottom w:type="dxa" w:w="80"/>
              <w:right w:type="dxa" w:w="110"/>
            </w:tcMar>
          </w:tcPr>
          <w:p>
            <w:pPr>
              <w:spacing w:after="0" w:line="252"/>
            </w:pPr>
            <w:r>
              <w:rPr>
                <w:rFonts w:ascii="Georgia" w:cs="Georgia" w:eastAsia="Georgia" w:hAnsi="Georgia"/>
                <w:b/>
                <w:bCs/>
                <w:sz w:val="19"/>
                <w:szCs w:val="19"/>
              </w:rPr>
              <w:t xml:space="preserve">5 M's</w:t>
            </w:r>
          </w:p>
        </w:tc>
        <w:tc>
          <w:tcPr>
            <w:tcW w:type="dxa" w:w="2460"/>
            <w:shd w:fill="F3EDE7" w:val="clear"/>
            <w:tcMar>
              <w:top w:type="dxa" w:w="80"/>
              <w:left w:type="dxa" w:w="110"/>
              <w:bottom w:type="dxa" w:w="80"/>
              <w:right w:type="dxa" w:w="110"/>
            </w:tcMar>
          </w:tcPr>
          <w:p>
            <w:pPr>
              <w:spacing w:after="0" w:line="252"/>
            </w:pPr>
            <w:r>
              <w:rPr>
                <w:rFonts w:ascii="Georgia" w:cs="Georgia" w:eastAsia="Georgia" w:hAnsi="Georgia"/>
                <w:b/>
                <w:bCs/>
                <w:sz w:val="19"/>
                <w:szCs w:val="19"/>
              </w:rPr>
              <w:t xml:space="preserve">Interaction</w:t>
            </w:r>
          </w:p>
        </w:tc>
      </w:tr>
      <w:tr>
        <w:tc>
          <w:tcPr>
            <w:tcW w:type="dxa" w:w="7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4</w:t>
            </w:r>
          </w:p>
        </w:tc>
        <w:tc>
          <w:tcPr>
            <w:tcW w:type="dxa" w:w="3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Mark · Ruth's eldest son</w:t>
            </w:r>
          </w:p>
        </w:tc>
        <w:tc>
          <w:tcPr>
            <w:tcW w:type="dxa" w:w="2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Matters Most</w:t>
            </w:r>
          </w:p>
        </w:tc>
        <w:tc>
          <w:tcPr>
            <w:tcW w:type="dxa" w:w="246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Family card and Q&amp;A</w:t>
            </w:r>
          </w:p>
        </w:tc>
      </w:tr>
      <w:tr>
        <w:tc>
          <w:tcPr>
            <w:tcW w:type="dxa" w:w="7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5</w:t>
            </w:r>
          </w:p>
        </w:tc>
        <w:tc>
          <w:tcPr>
            <w:tcW w:type="dxa" w:w="3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Dr. Osei · Orthopedic surgeon (new)</w:t>
            </w:r>
          </w:p>
        </w:tc>
        <w:tc>
          <w:tcPr>
            <w:tcW w:type="dxa" w:w="2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Mobility</w:t>
            </w:r>
          </w:p>
        </w:tc>
        <w:tc>
          <w:tcPr>
            <w:tcW w:type="dxa" w:w="246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Decision: repair or replace</w:t>
            </w:r>
          </w:p>
        </w:tc>
      </w:tr>
      <w:tr>
        <w:tc>
          <w:tcPr>
            <w:tcW w:type="dxa" w:w="7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6</w:t>
            </w:r>
          </w:p>
        </w:tc>
        <w:tc>
          <w:tcPr>
            <w:tcW w:type="dxa" w:w="3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Dr. Lin · Anesthesiologist (new)</w:t>
            </w:r>
          </w:p>
        </w:tc>
        <w:tc>
          <w:tcPr>
            <w:tcW w:type="dxa" w:w="2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Mind · Medications</w:t>
            </w:r>
          </w:p>
        </w:tc>
        <w:tc>
          <w:tcPr>
            <w:tcW w:type="dxa" w:w="246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Decision: spinal or general</w:t>
            </w:r>
          </w:p>
        </w:tc>
      </w:tr>
      <w:tr>
        <w:tc>
          <w:tcPr>
            <w:tcW w:type="dxa" w:w="7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7</w:t>
            </w:r>
          </w:p>
        </w:tc>
        <w:tc>
          <w:tcPr>
            <w:tcW w:type="dxa" w:w="3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Tavon · Surgical technologist (new)</w:t>
            </w:r>
          </w:p>
        </w:tc>
        <w:tc>
          <w:tcPr>
            <w:tcW w:type="dxa" w:w="2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Mobility</w:t>
            </w:r>
          </w:p>
        </w:tc>
        <w:tc>
          <w:tcPr>
            <w:tcW w:type="dxa" w:w="246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The instrument table as a map</w:t>
            </w:r>
          </w:p>
        </w:tc>
      </w:tr>
      <w:tr>
        <w:tc>
          <w:tcPr>
            <w:tcW w:type="dxa" w:w="7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8</w:t>
            </w:r>
          </w:p>
        </w:tc>
        <w:tc>
          <w:tcPr>
            <w:tcW w:type="dxa" w:w="3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June · PACU nurse (new)</w:t>
            </w:r>
          </w:p>
        </w:tc>
        <w:tc>
          <w:tcPr>
            <w:tcW w:type="dxa" w:w="2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Mind</w:t>
            </w:r>
          </w:p>
        </w:tc>
        <w:tc>
          <w:tcPr>
            <w:tcW w:type="dxa" w:w="246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Quick call: the pressure dips</w:t>
            </w:r>
          </w:p>
        </w:tc>
      </w:tr>
      <w:tr>
        <w:tc>
          <w:tcPr>
            <w:tcW w:type="dxa" w:w="7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9</w:t>
            </w:r>
          </w:p>
        </w:tc>
        <w:tc>
          <w:tcPr>
            <w:tcW w:type="dxa" w:w="3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Rev. Dana · Hospital chaplain (new)</w:t>
            </w:r>
          </w:p>
        </w:tc>
        <w:tc>
          <w:tcPr>
            <w:tcW w:type="dxa" w:w="2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Matters Most</w:t>
            </w:r>
          </w:p>
        </w:tc>
        <w:tc>
          <w:tcPr>
            <w:tcW w:type="dxa" w:w="246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A deliberately quiet card</w:t>
            </w:r>
          </w:p>
        </w:tc>
      </w:tr>
    </w:tbl>
    <w:p>
      <w:pPr>
        <w:pStyle w:val="Heading2"/>
        <w:spacing w:after="160" w:before="280"/>
      </w:pPr>
      <w:r>
        <w:rPr>
          <w:rFonts w:ascii="Georgia" w:cs="Georgia" w:eastAsia="Georgia" w:hAnsi="Georgia"/>
          <w:b/>
          <w:bCs/>
          <w:color w:val="333333"/>
          <w:sz w:val="25"/>
          <w:szCs w:val="25"/>
        </w:rPr>
        <w:t xml:space="preserve">Stage III · Rebuilding (weeks one through four)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3600"/>
        <w:gridCol w:w="2600"/>
        <w:gridCol w:w="2460"/>
      </w:tblGrid>
      <w:tr>
        <w:trPr>
          <w:tblHeader/>
        </w:trPr>
        <w:tc>
          <w:tcPr>
            <w:tcW w:type="dxa" w:w="700"/>
            <w:shd w:fill="F3EDE7" w:val="clear"/>
            <w:tcMar>
              <w:top w:type="dxa" w:w="80"/>
              <w:left w:type="dxa" w:w="110"/>
              <w:bottom w:type="dxa" w:w="80"/>
              <w:right w:type="dxa" w:w="110"/>
            </w:tcMar>
          </w:tcPr>
          <w:p>
            <w:pPr>
              <w:spacing w:after="0" w:line="252"/>
            </w:pPr>
            <w:r>
              <w:rPr>
                <w:rFonts w:ascii="Georgia" w:cs="Georgia" w:eastAsia="Georgia" w:hAnsi="Georgia"/>
                <w:b/>
                <w:bCs/>
                <w:sz w:val="19"/>
                <w:szCs w:val="19"/>
              </w:rPr>
              <w:t xml:space="preserve">Stop</w:t>
            </w:r>
          </w:p>
        </w:tc>
        <w:tc>
          <w:tcPr>
            <w:tcW w:type="dxa" w:w="3600"/>
            <w:shd w:fill="F3EDE7" w:val="clear"/>
            <w:tcMar>
              <w:top w:type="dxa" w:w="80"/>
              <w:left w:type="dxa" w:w="110"/>
              <w:bottom w:type="dxa" w:w="80"/>
              <w:right w:type="dxa" w:w="110"/>
            </w:tcMar>
          </w:tcPr>
          <w:p>
            <w:pPr>
              <w:spacing w:after="0" w:line="252"/>
            </w:pPr>
            <w:r>
              <w:rPr>
                <w:rFonts w:ascii="Georgia" w:cs="Georgia" w:eastAsia="Georgia" w:hAnsi="Georgia"/>
                <w:b/>
                <w:bCs/>
                <w:sz w:val="19"/>
                <w:szCs w:val="19"/>
              </w:rPr>
              <w:t xml:space="preserve">Person</w:t>
            </w:r>
          </w:p>
        </w:tc>
        <w:tc>
          <w:tcPr>
            <w:tcW w:type="dxa" w:w="2600"/>
            <w:shd w:fill="F3EDE7" w:val="clear"/>
            <w:tcMar>
              <w:top w:type="dxa" w:w="80"/>
              <w:left w:type="dxa" w:w="110"/>
              <w:bottom w:type="dxa" w:w="80"/>
              <w:right w:type="dxa" w:w="110"/>
            </w:tcMar>
          </w:tcPr>
          <w:p>
            <w:pPr>
              <w:spacing w:after="0" w:line="252"/>
            </w:pPr>
            <w:r>
              <w:rPr>
                <w:rFonts w:ascii="Georgia" w:cs="Georgia" w:eastAsia="Georgia" w:hAnsi="Georgia"/>
                <w:b/>
                <w:bCs/>
                <w:sz w:val="19"/>
                <w:szCs w:val="19"/>
              </w:rPr>
              <w:t xml:space="preserve">5 M's</w:t>
            </w:r>
          </w:p>
        </w:tc>
        <w:tc>
          <w:tcPr>
            <w:tcW w:type="dxa" w:w="2460"/>
            <w:shd w:fill="F3EDE7" w:val="clear"/>
            <w:tcMar>
              <w:top w:type="dxa" w:w="80"/>
              <w:left w:type="dxa" w:w="110"/>
              <w:bottom w:type="dxa" w:w="80"/>
              <w:right w:type="dxa" w:w="110"/>
            </w:tcMar>
          </w:tcPr>
          <w:p>
            <w:pPr>
              <w:spacing w:after="0" w:line="252"/>
            </w:pPr>
            <w:r>
              <w:rPr>
                <w:rFonts w:ascii="Georgia" w:cs="Georgia" w:eastAsia="Georgia" w:hAnsi="Georgia"/>
                <w:b/>
                <w:bCs/>
                <w:sz w:val="19"/>
                <w:szCs w:val="19"/>
              </w:rPr>
              <w:t xml:space="preserve">Interaction</w:t>
            </w:r>
          </w:p>
        </w:tc>
      </w:tr>
      <w:tr>
        <w:tc>
          <w:tcPr>
            <w:tcW w:type="dxa" w:w="7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10</w:t>
            </w:r>
          </w:p>
        </w:tc>
        <w:tc>
          <w:tcPr>
            <w:tcW w:type="dxa" w:w="3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Dr. Campos · Geriatrician (new)</w:t>
            </w:r>
          </w:p>
        </w:tc>
        <w:tc>
          <w:tcPr>
            <w:tcW w:type="dxa" w:w="2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Medications · Multicomplexity</w:t>
            </w:r>
          </w:p>
        </w:tc>
        <w:tc>
          <w:tcPr>
            <w:tcW w:type="dxa" w:w="246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Signature decision: deprescribing</w:t>
            </w:r>
          </w:p>
        </w:tc>
      </w:tr>
      <w:tr>
        <w:tc>
          <w:tcPr>
            <w:tcW w:type="dxa" w:w="7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11</w:t>
            </w:r>
          </w:p>
        </w:tc>
        <w:tc>
          <w:tcPr>
            <w:tcW w:type="dxa" w:w="3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Raymond · Consultant pharmacist, BCGP (new)</w:t>
            </w:r>
          </w:p>
        </w:tc>
        <w:tc>
          <w:tcPr>
            <w:tcW w:type="dxa" w:w="2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Medications</w:t>
            </w:r>
          </w:p>
        </w:tc>
        <w:tc>
          <w:tcPr>
            <w:tcW w:type="dxa" w:w="246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Culprit hunt: judge all six medicines</w:t>
            </w:r>
          </w:p>
        </w:tc>
      </w:tr>
      <w:tr>
        <w:tc>
          <w:tcPr>
            <w:tcW w:type="dxa" w:w="7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12</w:t>
            </w:r>
          </w:p>
        </w:tc>
        <w:tc>
          <w:tcPr>
            <w:tcW w:type="dxa" w:w="3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Kayla · Physical therapist assistant (new)</w:t>
            </w:r>
          </w:p>
        </w:tc>
        <w:tc>
          <w:tcPr>
            <w:tcW w:type="dxa" w:w="2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Mobility</w:t>
            </w:r>
          </w:p>
        </w:tc>
        <w:tc>
          <w:tcPr>
            <w:tcW w:type="dxa" w:w="246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Quick call: she refuses therapy</w:t>
            </w:r>
          </w:p>
        </w:tc>
      </w:tr>
      <w:tr>
        <w:tc>
          <w:tcPr>
            <w:tcW w:type="dxa" w:w="7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13</w:t>
            </w:r>
          </w:p>
        </w:tc>
        <w:tc>
          <w:tcPr>
            <w:tcW w:type="dxa" w:w="3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Ben · Occupational therapy assistant (new)</w:t>
            </w:r>
          </w:p>
        </w:tc>
        <w:tc>
          <w:tcPr>
            <w:tcW w:type="dxa" w:w="2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Mobility · Matters Most</w:t>
            </w:r>
          </w:p>
        </w:tc>
        <w:tc>
          <w:tcPr>
            <w:tcW w:type="dxa" w:w="246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Rebuilding the morning, task by task</w:t>
            </w:r>
          </w:p>
        </w:tc>
      </w:tr>
      <w:tr>
        <w:tc>
          <w:tcPr>
            <w:tcW w:type="dxa" w:w="7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14</w:t>
            </w:r>
          </w:p>
        </w:tc>
        <w:tc>
          <w:tcPr>
            <w:tcW w:type="dxa" w:w="3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Yolanda · CNA, night shift (new)</w:t>
            </w:r>
          </w:p>
        </w:tc>
        <w:tc>
          <w:tcPr>
            <w:tcW w:type="dxa" w:w="2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Mind</w:t>
            </w:r>
          </w:p>
        </w:tc>
        <w:tc>
          <w:tcPr>
            <w:tcW w:type="dxa" w:w="246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Quick call: the 2 a.m. observation</w:t>
            </w:r>
          </w:p>
        </w:tc>
      </w:tr>
    </w:tbl>
    <w:p>
      <w:pPr>
        <w:pStyle w:val="Heading2"/>
        <w:spacing w:after="160" w:before="280"/>
      </w:pPr>
      <w:r>
        <w:rPr>
          <w:rFonts w:ascii="Georgia" w:cs="Georgia" w:eastAsia="Georgia" w:hAnsi="Georgia"/>
          <w:b/>
          <w:bCs/>
          <w:color w:val="333333"/>
          <w:sz w:val="25"/>
          <w:szCs w:val="25"/>
        </w:rPr>
        <w:t xml:space="preserve">Stage IV · The way home (weeks four through eight)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3600"/>
        <w:gridCol w:w="2600"/>
        <w:gridCol w:w="2460"/>
      </w:tblGrid>
      <w:tr>
        <w:trPr>
          <w:tblHeader/>
        </w:trPr>
        <w:tc>
          <w:tcPr>
            <w:tcW w:type="dxa" w:w="700"/>
            <w:shd w:fill="F3EDE7" w:val="clear"/>
            <w:tcMar>
              <w:top w:type="dxa" w:w="80"/>
              <w:left w:type="dxa" w:w="110"/>
              <w:bottom w:type="dxa" w:w="80"/>
              <w:right w:type="dxa" w:w="110"/>
            </w:tcMar>
          </w:tcPr>
          <w:p>
            <w:pPr>
              <w:spacing w:after="0" w:line="252"/>
            </w:pPr>
            <w:r>
              <w:rPr>
                <w:rFonts w:ascii="Georgia" w:cs="Georgia" w:eastAsia="Georgia" w:hAnsi="Georgia"/>
                <w:b/>
                <w:bCs/>
                <w:sz w:val="19"/>
                <w:szCs w:val="19"/>
              </w:rPr>
              <w:t xml:space="preserve">Stop</w:t>
            </w:r>
          </w:p>
        </w:tc>
        <w:tc>
          <w:tcPr>
            <w:tcW w:type="dxa" w:w="3600"/>
            <w:shd w:fill="F3EDE7" w:val="clear"/>
            <w:tcMar>
              <w:top w:type="dxa" w:w="80"/>
              <w:left w:type="dxa" w:w="110"/>
              <w:bottom w:type="dxa" w:w="80"/>
              <w:right w:type="dxa" w:w="110"/>
            </w:tcMar>
          </w:tcPr>
          <w:p>
            <w:pPr>
              <w:spacing w:after="0" w:line="252"/>
            </w:pPr>
            <w:r>
              <w:rPr>
                <w:rFonts w:ascii="Georgia" w:cs="Georgia" w:eastAsia="Georgia" w:hAnsi="Georgia"/>
                <w:b/>
                <w:bCs/>
                <w:sz w:val="19"/>
                <w:szCs w:val="19"/>
              </w:rPr>
              <w:t xml:space="preserve">Person</w:t>
            </w:r>
          </w:p>
        </w:tc>
        <w:tc>
          <w:tcPr>
            <w:tcW w:type="dxa" w:w="2600"/>
            <w:shd w:fill="F3EDE7" w:val="clear"/>
            <w:tcMar>
              <w:top w:type="dxa" w:w="80"/>
              <w:left w:type="dxa" w:w="110"/>
              <w:bottom w:type="dxa" w:w="80"/>
              <w:right w:type="dxa" w:w="110"/>
            </w:tcMar>
          </w:tcPr>
          <w:p>
            <w:pPr>
              <w:spacing w:after="0" w:line="252"/>
            </w:pPr>
            <w:r>
              <w:rPr>
                <w:rFonts w:ascii="Georgia" w:cs="Georgia" w:eastAsia="Georgia" w:hAnsi="Georgia"/>
                <w:b/>
                <w:bCs/>
                <w:sz w:val="19"/>
                <w:szCs w:val="19"/>
              </w:rPr>
              <w:t xml:space="preserve">5 M's</w:t>
            </w:r>
          </w:p>
        </w:tc>
        <w:tc>
          <w:tcPr>
            <w:tcW w:type="dxa" w:w="2460"/>
            <w:shd w:fill="F3EDE7" w:val="clear"/>
            <w:tcMar>
              <w:top w:type="dxa" w:w="80"/>
              <w:left w:type="dxa" w:w="110"/>
              <w:bottom w:type="dxa" w:w="80"/>
              <w:right w:type="dxa" w:w="110"/>
            </w:tcMar>
          </w:tcPr>
          <w:p>
            <w:pPr>
              <w:spacing w:after="0" w:line="252"/>
            </w:pPr>
            <w:r>
              <w:rPr>
                <w:rFonts w:ascii="Georgia" w:cs="Georgia" w:eastAsia="Georgia" w:hAnsi="Georgia"/>
                <w:b/>
                <w:bCs/>
                <w:sz w:val="19"/>
                <w:szCs w:val="19"/>
              </w:rPr>
              <w:t xml:space="preserve">Interaction</w:t>
            </w:r>
          </w:p>
        </w:tc>
      </w:tr>
      <w:tr>
        <w:tc>
          <w:tcPr>
            <w:tcW w:type="dxa" w:w="7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15</w:t>
            </w:r>
          </w:p>
        </w:tc>
        <w:tc>
          <w:tcPr>
            <w:tcW w:type="dxa" w:w="3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Elena · Geriatric care manager (new)</w:t>
            </w:r>
          </w:p>
        </w:tc>
        <w:tc>
          <w:tcPr>
            <w:tcW w:type="dxa" w:w="2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Multicomplexity</w:t>
            </w:r>
          </w:p>
        </w:tc>
        <w:tc>
          <w:tcPr>
            <w:tcW w:type="dxa" w:w="246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The care map as artifact</w:t>
            </w:r>
          </w:p>
        </w:tc>
      </w:tr>
      <w:tr>
        <w:tc>
          <w:tcPr>
            <w:tcW w:type="dxa" w:w="7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16</w:t>
            </w:r>
          </w:p>
        </w:tc>
        <w:tc>
          <w:tcPr>
            <w:tcW w:type="dxa" w:w="3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Priscilla · Home health nurse (new)</w:t>
            </w:r>
          </w:p>
        </w:tc>
        <w:tc>
          <w:tcPr>
            <w:tcW w:type="dxa" w:w="2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Medications · Multicomplexity</w:t>
            </w:r>
          </w:p>
        </w:tc>
        <w:tc>
          <w:tcPr>
            <w:tcW w:type="dxa" w:w="246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Open the medicine drawer</w:t>
            </w:r>
          </w:p>
        </w:tc>
      </w:tr>
      <w:tr>
        <w:tc>
          <w:tcPr>
            <w:tcW w:type="dxa" w:w="7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17</w:t>
            </w:r>
          </w:p>
        </w:tc>
        <w:tc>
          <w:tcPr>
            <w:tcW w:type="dxa" w:w="3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Dorothy · Home health aide (new)</w:t>
            </w:r>
          </w:p>
        </w:tc>
        <w:tc>
          <w:tcPr>
            <w:tcW w:type="dxa" w:w="2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Matters Most</w:t>
            </w:r>
          </w:p>
        </w:tc>
        <w:tc>
          <w:tcPr>
            <w:tcW w:type="dxa" w:w="246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A deliberately quiet card</w:t>
            </w:r>
          </w:p>
        </w:tc>
      </w:tr>
      <w:tr>
        <w:tc>
          <w:tcPr>
            <w:tcW w:type="dxa" w:w="7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18</w:t>
            </w:r>
          </w:p>
        </w:tc>
        <w:tc>
          <w:tcPr>
            <w:tcW w:type="dxa" w:w="3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Walt · Home modification contractor, CAPS (new)</w:t>
            </w:r>
          </w:p>
        </w:tc>
        <w:tc>
          <w:tcPr>
            <w:tcW w:type="dxa" w:w="2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Mobility</w:t>
            </w:r>
          </w:p>
        </w:tc>
        <w:tc>
          <w:tcPr>
            <w:tcW w:type="dxa" w:w="246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Hazard hunt: find five dangers in her hallway</w:t>
            </w:r>
          </w:p>
        </w:tc>
      </w:tr>
      <w:tr>
        <w:tc>
          <w:tcPr>
            <w:tcW w:type="dxa" w:w="7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19</w:t>
            </w:r>
          </w:p>
        </w:tc>
        <w:tc>
          <w:tcPr>
            <w:tcW w:type="dxa" w:w="3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Marge · Meals on Wheels volunteer (new)</w:t>
            </w:r>
          </w:p>
        </w:tc>
        <w:tc>
          <w:tcPr>
            <w:tcW w:type="dxa" w:w="2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Mind · Matters Most</w:t>
            </w:r>
          </w:p>
        </w:tc>
        <w:tc>
          <w:tcPr>
            <w:tcW w:type="dxa" w:w="246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Quick call: the door goes unanswered</w:t>
            </w:r>
          </w:p>
        </w:tc>
      </w:tr>
    </w:tbl>
    <w:p>
      <w:pPr>
        <w:pStyle w:val="Heading2"/>
        <w:spacing w:after="160" w:before="280"/>
      </w:pPr>
      <w:r>
        <w:rPr>
          <w:rFonts w:ascii="Georgia" w:cs="Georgia" w:eastAsia="Georgia" w:hAnsi="Georgia"/>
          <w:b/>
          <w:bCs/>
          <w:color w:val="333333"/>
          <w:sz w:val="25"/>
          <w:szCs w:val="25"/>
        </w:rPr>
        <w:t xml:space="preserve">Stage V · The road ahead (the months after)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3600"/>
        <w:gridCol w:w="2600"/>
        <w:gridCol w:w="2460"/>
      </w:tblGrid>
      <w:tr>
        <w:trPr>
          <w:tblHeader/>
        </w:trPr>
        <w:tc>
          <w:tcPr>
            <w:tcW w:type="dxa" w:w="700"/>
            <w:shd w:fill="F3EDE7" w:val="clear"/>
            <w:tcMar>
              <w:top w:type="dxa" w:w="80"/>
              <w:left w:type="dxa" w:w="110"/>
              <w:bottom w:type="dxa" w:w="80"/>
              <w:right w:type="dxa" w:w="110"/>
            </w:tcMar>
          </w:tcPr>
          <w:p>
            <w:pPr>
              <w:spacing w:after="0" w:line="252"/>
            </w:pPr>
            <w:r>
              <w:rPr>
                <w:rFonts w:ascii="Georgia" w:cs="Georgia" w:eastAsia="Georgia" w:hAnsi="Georgia"/>
                <w:b/>
                <w:bCs/>
                <w:sz w:val="19"/>
                <w:szCs w:val="19"/>
              </w:rPr>
              <w:t xml:space="preserve">Stop</w:t>
            </w:r>
          </w:p>
        </w:tc>
        <w:tc>
          <w:tcPr>
            <w:tcW w:type="dxa" w:w="3600"/>
            <w:shd w:fill="F3EDE7" w:val="clear"/>
            <w:tcMar>
              <w:top w:type="dxa" w:w="80"/>
              <w:left w:type="dxa" w:w="110"/>
              <w:bottom w:type="dxa" w:w="80"/>
              <w:right w:type="dxa" w:w="110"/>
            </w:tcMar>
          </w:tcPr>
          <w:p>
            <w:pPr>
              <w:spacing w:after="0" w:line="252"/>
            </w:pPr>
            <w:r>
              <w:rPr>
                <w:rFonts w:ascii="Georgia" w:cs="Georgia" w:eastAsia="Georgia" w:hAnsi="Georgia"/>
                <w:b/>
                <w:bCs/>
                <w:sz w:val="19"/>
                <w:szCs w:val="19"/>
              </w:rPr>
              <w:t xml:space="preserve">Person</w:t>
            </w:r>
          </w:p>
        </w:tc>
        <w:tc>
          <w:tcPr>
            <w:tcW w:type="dxa" w:w="2600"/>
            <w:shd w:fill="F3EDE7" w:val="clear"/>
            <w:tcMar>
              <w:top w:type="dxa" w:w="80"/>
              <w:left w:type="dxa" w:w="110"/>
              <w:bottom w:type="dxa" w:w="80"/>
              <w:right w:type="dxa" w:w="110"/>
            </w:tcMar>
          </w:tcPr>
          <w:p>
            <w:pPr>
              <w:spacing w:after="0" w:line="252"/>
            </w:pPr>
            <w:r>
              <w:rPr>
                <w:rFonts w:ascii="Georgia" w:cs="Georgia" w:eastAsia="Georgia" w:hAnsi="Georgia"/>
                <w:b/>
                <w:bCs/>
                <w:sz w:val="19"/>
                <w:szCs w:val="19"/>
              </w:rPr>
              <w:t xml:space="preserve">5 M's</w:t>
            </w:r>
          </w:p>
        </w:tc>
        <w:tc>
          <w:tcPr>
            <w:tcW w:type="dxa" w:w="2460"/>
            <w:shd w:fill="F3EDE7" w:val="clear"/>
            <w:tcMar>
              <w:top w:type="dxa" w:w="80"/>
              <w:left w:type="dxa" w:w="110"/>
              <w:bottom w:type="dxa" w:w="80"/>
              <w:right w:type="dxa" w:w="110"/>
            </w:tcMar>
          </w:tcPr>
          <w:p>
            <w:pPr>
              <w:spacing w:after="0" w:line="252"/>
            </w:pPr>
            <w:r>
              <w:rPr>
                <w:rFonts w:ascii="Georgia" w:cs="Georgia" w:eastAsia="Georgia" w:hAnsi="Georgia"/>
                <w:b/>
                <w:bCs/>
                <w:sz w:val="19"/>
                <w:szCs w:val="19"/>
              </w:rPr>
              <w:t xml:space="preserve">Interaction</w:t>
            </w:r>
          </w:p>
        </w:tc>
      </w:tr>
      <w:tr>
        <w:tc>
          <w:tcPr>
            <w:tcW w:type="dxa" w:w="7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20</w:t>
            </w:r>
          </w:p>
        </w:tc>
        <w:tc>
          <w:tcPr>
            <w:tcW w:type="dxa" w:w="3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Nadia · Fracture liaison nurse (new)</w:t>
            </w:r>
          </w:p>
        </w:tc>
        <w:tc>
          <w:tcPr>
            <w:tcW w:type="dxa" w:w="2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Multicomplexity</w:t>
            </w:r>
          </w:p>
        </w:tc>
        <w:tc>
          <w:tcPr>
            <w:tcW w:type="dxa" w:w="246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Timeline: the wrist and the hip, connected</w:t>
            </w:r>
          </w:p>
        </w:tc>
      </w:tr>
      <w:tr>
        <w:tc>
          <w:tcPr>
            <w:tcW w:type="dxa" w:w="7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21</w:t>
            </w:r>
          </w:p>
        </w:tc>
        <w:tc>
          <w:tcPr>
            <w:tcW w:type="dxa" w:w="3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Kim · DEXA technologist (new)</w:t>
            </w:r>
          </w:p>
        </w:tc>
        <w:tc>
          <w:tcPr>
            <w:tcW w:type="dxa" w:w="2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Mobility</w:t>
            </w:r>
          </w:p>
        </w:tc>
        <w:tc>
          <w:tcPr>
            <w:tcW w:type="dxa" w:w="246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Tap-to-reveal: the T-score</w:t>
            </w:r>
          </w:p>
        </w:tc>
      </w:tr>
      <w:tr>
        <w:tc>
          <w:tcPr>
            <w:tcW w:type="dxa" w:w="7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22</w:t>
            </w:r>
          </w:p>
        </w:tc>
        <w:tc>
          <w:tcPr>
            <w:tcW w:type="dxa" w:w="3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Dr. Rivera · Endocrinologist (new)</w:t>
            </w:r>
          </w:p>
        </w:tc>
        <w:tc>
          <w:tcPr>
            <w:tcW w:type="dxa" w:w="2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Medications · Multicomplexity</w:t>
            </w:r>
          </w:p>
        </w:tc>
        <w:tc>
          <w:tcPr>
            <w:tcW w:type="dxa" w:w="246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Quick call: which problem first?</w:t>
            </w:r>
          </w:p>
        </w:tc>
      </w:tr>
      <w:tr>
        <w:tc>
          <w:tcPr>
            <w:tcW w:type="dxa" w:w="7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23</w:t>
            </w:r>
          </w:p>
        </w:tc>
        <w:tc>
          <w:tcPr>
            <w:tcW w:type="dxa" w:w="3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Angela · Falls-prevention instructor (new)</w:t>
            </w:r>
          </w:p>
        </w:tc>
        <w:tc>
          <w:tcPr>
            <w:tcW w:type="dxa" w:w="2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Mobility</w:t>
            </w:r>
          </w:p>
        </w:tc>
        <w:tc>
          <w:tcPr>
            <w:tcW w:type="dxa" w:w="246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Tai chi and the evidence for it</w:t>
            </w:r>
          </w:p>
        </w:tc>
      </w:tr>
      <w:tr>
        <w:tc>
          <w:tcPr>
            <w:tcW w:type="dxa" w:w="7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24</w:t>
            </w:r>
          </w:p>
        </w:tc>
        <w:tc>
          <w:tcPr>
            <w:tcW w:type="dxa" w:w="3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The kitchen table · Ruth, Mark &amp; Dr. Campos</w:t>
            </w:r>
          </w:p>
        </w:tc>
        <w:tc>
          <w:tcPr>
            <w:tcW w:type="dxa" w:w="260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Matters Most</w:t>
            </w:r>
          </w:p>
        </w:tc>
        <w:tc>
          <w:tcPr>
            <w:tcW w:type="dxa" w:w="2460"/>
            <w:tcMar>
              <w:top w:type="dxa" w:w="80"/>
              <w:left w:type="dxa" w:w="110"/>
              <w:bottom w:type="dxa" w:w="80"/>
              <w:right w:type="dxa" w:w="110"/>
            </w:tcMar>
          </w:tcPr>
          <w:p>
            <w:pPr>
              <w:spacing w:after="0" w:line="252"/>
            </w:pPr>
            <w:r>
              <w:rPr>
                <w:rFonts w:ascii="Georgia" w:cs="Georgia" w:eastAsia="Georgia" w:hAnsi="Georgia"/>
                <w:b w:val="false"/>
                <w:bCs w:val="false"/>
                <w:sz w:val="19"/>
                <w:szCs w:val="19"/>
              </w:rPr>
              <w:t xml:space="preserve">You choose the questions; Ruth answers</w:t>
            </w:r>
          </w:p>
        </w:tc>
      </w:tr>
    </w:tbl>
    <w:p>
      <w:pPr>
        <w:pStyle w:val="Heading1"/>
        <w:spacing w:after="200" w:before="360"/>
      </w:pPr>
      <w:r>
        <w:rPr>
          <w:rFonts w:ascii="Georgia" w:cs="Georgia" w:eastAsia="Georgia" w:hAnsi="Georgia"/>
          <w:b/>
          <w:bCs/>
          <w:color w:val="8C1515"/>
          <w:sz w:val="30"/>
          <w:szCs w:val="30"/>
        </w:rPr>
        <w:t xml:space="preserve">Part Four · The three full decisions</w:t>
      </w:r>
    </w:p>
    <w:p>
      <w:pPr>
        <w:pStyle w:val="Heading2"/>
        <w:spacing w:after="160" w:before="280"/>
      </w:pPr>
      <w:r>
        <w:rPr>
          <w:rFonts w:ascii="Georgia" w:cs="Georgia" w:eastAsia="Georgia" w:hAnsi="Georgia"/>
          <w:b/>
          <w:bCs/>
          <w:color w:val="333333"/>
          <w:sz w:val="25"/>
          <w:szCs w:val="25"/>
        </w:rPr>
        <w:t xml:space="preserve">The geriatrician's deprescribing call (the signature decision)</w:t>
      </w:r>
    </w:p>
    <w:p>
      <w:pPr>
        <w:spacing w:after="160" w:line="276"/>
      </w:pPr>
      <w:r>
        <w:rPr>
          <w:rFonts w:ascii="Georgia" w:cs="Georgia" w:eastAsia="Georgia" w:hAnsi="Georgia"/>
          <w:b w:val="false"/>
          <w:bCs w:val="false"/>
          <w:i w:val="false"/>
          <w:iCs w:val="false"/>
          <w:sz w:val="22"/>
          <w:szCs w:val="22"/>
        </w:rPr>
        <w:t xml:space="preserve">Two weeks after surgery, Ruth's blood pressure still drops 24 points on standing. Her home list: lisinopril, hydrochlorothiazide, amlodipine, levothyroxine, nightly diphenhydramine; seated pressure 128 over 74. The strong choice is to stop the hydrochlorothiazide and the diphenhydramine and recheck standing pressures within the week: the diuretic causes both the standing drop and the 2 a.m. bathroom trips, so removing it treats the fall twice, and the antihistamine is a Beers-list drug adding sedation and unsteadiness for sleep it barely improves. Doing nothing mistakes the seated number for the story; stopping all three pressure medicines at once trades one danger for another; stockings and a commode manage the symptom and leave the cause untouched. The frame idea: at 85, the blood pressure target that protected her heart at 60 has to be renegotiated against the floor she spent three hours on. Deprescribing is a clinical skill with its own evidence base, and geriatricians train in it specifically.</w:t>
      </w:r>
    </w:p>
    <w:p>
      <w:pPr>
        <w:pStyle w:val="Heading2"/>
        <w:spacing w:after="160" w:before="280"/>
      </w:pPr>
      <w:r>
        <w:rPr>
          <w:rFonts w:ascii="Georgia" w:cs="Georgia" w:eastAsia="Georgia" w:hAnsi="Georgia"/>
          <w:b/>
          <w:bCs/>
          <w:color w:val="333333"/>
          <w:sz w:val="25"/>
          <w:szCs w:val="25"/>
        </w:rPr>
        <w:t xml:space="preserve">The orthopedic surgeon: repair or replace</w:t>
      </w:r>
    </w:p>
    <w:p>
      <w:pPr>
        <w:spacing w:after="160" w:line="276"/>
      </w:pPr>
      <w:r>
        <w:rPr>
          <w:rFonts w:ascii="Georgia" w:cs="Georgia" w:eastAsia="Georgia" w:hAnsi="Georgia"/>
          <w:b w:val="false"/>
          <w:bCs w:val="false"/>
          <w:i w:val="false"/>
          <w:iCs w:val="false"/>
          <w:sz w:val="22"/>
          <w:szCs w:val="22"/>
        </w:rPr>
        <w:t xml:space="preserve">For a displaced femoral neck fracture at 85, the strong choice is hemiarthroplasty, replacing the broken ball of the hip, because the fracture has likely torn the blood supply the bone would need to heal around screws, and because the replacement allows immediate weight-bearing, which is everything at her age. Total hip replacement is defensible for a very active older patient, and the case says so honestly. Declining surgery gets a serious answer: for hip fracture, surgery is usually the safer path, and too old for surgery is a judgment about health and goals, never about the number 85 alone.</w:t>
      </w:r>
    </w:p>
    <w:p>
      <w:pPr>
        <w:pStyle w:val="Heading2"/>
        <w:spacing w:after="160" w:before="280"/>
      </w:pPr>
      <w:r>
        <w:rPr>
          <w:rFonts w:ascii="Georgia" w:cs="Georgia" w:eastAsia="Georgia" w:hAnsi="Georgia"/>
          <w:b/>
          <w:bCs/>
          <w:color w:val="333333"/>
          <w:sz w:val="25"/>
          <w:szCs w:val="25"/>
        </w:rPr>
        <w:t xml:space="preserve">The anesthesiologist: spinal or general</w:t>
      </w:r>
    </w:p>
    <w:p>
      <w:pPr>
        <w:spacing w:after="160" w:line="276"/>
      </w:pPr>
      <w:r>
        <w:rPr>
          <w:rFonts w:ascii="Georgia" w:cs="Georgia" w:eastAsia="Georgia" w:hAnsi="Georgia"/>
          <w:b w:val="false"/>
          <w:bCs w:val="false"/>
          <w:i w:val="false"/>
          <w:iCs w:val="false"/>
          <w:sz w:val="22"/>
          <w:szCs w:val="22"/>
        </w:rPr>
        <w:t xml:space="preserve">The offered plan is a spinal with light sedation, explained until the choice is Ruth's: numb from the waist down, her own lungs breathing, less medication through an 85-year-old brain. The case is honest about the evidence, since large trials found spinal and general anesthesia closer in outcomes than expected; the real skill is matching the plan to this patient and earning consent in plain language. The fourth option, asking Mark to decide for her, is its own lesson: Ruth is awake, oriented, and the only person entitled to this decision.</w:t>
      </w:r>
    </w:p>
    <w:p>
      <w:pPr>
        <w:pStyle w:val="Heading1"/>
        <w:spacing w:after="200" w:before="360"/>
      </w:pPr>
      <w:r>
        <w:rPr>
          <w:rFonts w:ascii="Georgia" w:cs="Georgia" w:eastAsia="Georgia" w:hAnsi="Georgia"/>
          <w:b/>
          <w:bCs/>
          <w:color w:val="8C1515"/>
          <w:sz w:val="30"/>
          <w:szCs w:val="30"/>
        </w:rPr>
        <w:t xml:space="preserve">Part Five · Careers this case adds to the series</w:t>
      </w:r>
    </w:p>
    <w:p>
      <w:pPr>
        <w:spacing w:after="160" w:line="276"/>
      </w:pPr>
      <w:r>
        <w:rPr>
          <w:rFonts w:ascii="Georgia" w:cs="Georgia" w:eastAsia="Georgia" w:hAnsi="Georgia"/>
          <w:b w:val="false"/>
          <w:bCs w:val="false"/>
          <w:i w:val="false"/>
          <w:iCs w:val="false"/>
          <w:sz w:val="22"/>
          <w:szCs w:val="22"/>
        </w:rPr>
        <w:t xml:space="preserve">Featured for the first time: 911 dispatcher, EMT, radiologic technologist, orthopedic surgeon, anesthesiologist, surgical technologist, PACU nurse, hospital chaplain, geriatrician, consultant pharmacist (BCGP), physical therapist assistant, occupational therapy assistant, certified nursing assistant, geriatric care manager, home health nurse, home health aide, certified aging-in-place contractor, Meals on Wheels volunteer (and the aging-services careers behind the route), fracture liaison nurse, DEXA technologist, endocrinologist, and community falls-prevention instructor.</w:t>
      </w:r>
    </w:p>
    <w:p>
      <w:pPr>
        <w:spacing w:after="160" w:line="276"/>
      </w:pPr>
      <w:r>
        <w:rPr>
          <w:rFonts w:ascii="Georgia" w:cs="Georgia" w:eastAsia="Georgia" w:hAnsi="Georgia"/>
          <w:b w:val="false"/>
          <w:bCs w:val="false"/>
          <w:i w:val="false"/>
          <w:iCs w:val="false"/>
          <w:sz w:val="22"/>
          <w:szCs w:val="22"/>
        </w:rPr>
        <w:t xml:space="preserve">The assistant-level cluster (PTA, OTA, CNA, home health aide) is deliberate: these are the fastest doorways into health careers, and the earlier cases underrepresent them. Kept to cameos because they had featured turns in Cases One through Four: paramedic, emergency physician, ICU and triage nursing, physical therapist, occupational therapist, social worker, dietitian, and retail pharmacist.</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2026-08-19T04:25:04.248Z</dcterms:created>
  <dcterms:modified xsi:type="dcterms:W3CDTF">2026-08-19T04:25:04.261Z</dcterms:modified>
</cp:coreProperties>
</file>

<file path=docProps/custom.xml><?xml version="1.0" encoding="utf-8"?>
<Properties xmlns="http://schemas.openxmlformats.org/officeDocument/2006/custom-properties" xmlns:vt="http://schemas.openxmlformats.org/officeDocument/2006/docPropsVTypes"/>
</file>